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45" w:rsidRPr="002945A8" w:rsidRDefault="00991C45" w:rsidP="00991C45">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Narrow" w:hAnsi="Arial Narrow"/>
          <w:b/>
          <w:i/>
          <w:color w:val="000000"/>
          <w:sz w:val="32"/>
          <w:szCs w:val="32"/>
        </w:rPr>
      </w:pPr>
      <w:r w:rsidRPr="002945A8">
        <w:rPr>
          <w:rFonts w:ascii="Arial Narrow" w:hAnsi="Arial Narrow"/>
          <w:b/>
          <w:i/>
          <w:color w:val="000000"/>
          <w:sz w:val="32"/>
          <w:szCs w:val="32"/>
        </w:rPr>
        <w:t>HUD REGULATIONS CAN BE FOUND AT THE FOLLOWING LINKS:</w:t>
      </w:r>
    </w:p>
    <w:p w:rsidR="00991C45" w:rsidRPr="00294756" w:rsidRDefault="00991C45" w:rsidP="00991C45">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Narrow" w:hAnsi="Arial Narrow"/>
          <w:color w:val="000000"/>
          <w:sz w:val="24"/>
        </w:rPr>
      </w:pPr>
      <w:r w:rsidRPr="00294756">
        <w:rPr>
          <w:rFonts w:ascii="Arial Narrow" w:hAnsi="Arial Narrow"/>
          <w:color w:val="000000"/>
          <w:sz w:val="24"/>
        </w:rPr>
        <w:t xml:space="preserve">If paper copy is desired please contact CDBG program office at 706-529-2461 or </w:t>
      </w:r>
      <w:hyperlink r:id="rId7" w:history="1">
        <w:r w:rsidRPr="00294756">
          <w:rPr>
            <w:rStyle w:val="Hyperlink"/>
            <w:rFonts w:ascii="Arial Narrow" w:hAnsi="Arial Narrow"/>
            <w:sz w:val="24"/>
          </w:rPr>
          <w:t>cdbg@cityofdalton-ga.gov</w:t>
        </w:r>
      </w:hyperlink>
    </w:p>
    <w:p w:rsidR="00C02E2F" w:rsidRPr="00FC11B2" w:rsidRDefault="00C02E2F" w:rsidP="00C02E2F">
      <w:pPr>
        <w:rPr>
          <w:rFonts w:ascii="Arial" w:hAnsi="Arial" w:cs="Arial"/>
          <w:b/>
          <w:sz w:val="32"/>
          <w:szCs w:val="32"/>
        </w:rPr>
      </w:pPr>
    </w:p>
    <w:p w:rsidR="00C02E2F" w:rsidRDefault="00C02E2F" w:rsidP="00C02E2F">
      <w:pPr>
        <w:rPr>
          <w:rFonts w:ascii="Arial" w:hAnsi="Arial" w:cs="Arial"/>
          <w:b/>
          <w:sz w:val="32"/>
          <w:szCs w:val="32"/>
          <w:u w:val="single"/>
        </w:rPr>
      </w:pPr>
      <w:r w:rsidRPr="00FC11B2">
        <w:rPr>
          <w:rFonts w:ascii="Arial" w:hAnsi="Arial" w:cs="Arial"/>
          <w:b/>
          <w:sz w:val="32"/>
          <w:szCs w:val="32"/>
          <w:u w:val="single"/>
        </w:rPr>
        <w:t>24 CFR Part 570:</w:t>
      </w:r>
    </w:p>
    <w:p w:rsidR="00C02E2F" w:rsidRPr="00294756" w:rsidRDefault="00C02E2F" w:rsidP="00C02E2F">
      <w:pPr>
        <w:rPr>
          <w:rFonts w:ascii="Arial" w:hAnsi="Arial" w:cs="Arial"/>
          <w:sz w:val="22"/>
          <w:szCs w:val="22"/>
        </w:rPr>
      </w:pPr>
      <w:r>
        <w:rPr>
          <w:rFonts w:ascii="Arial" w:hAnsi="Arial" w:cs="Arial"/>
          <w:sz w:val="22"/>
          <w:szCs w:val="22"/>
        </w:rPr>
        <w:t xml:space="preserve">Policies and Procedures applicable to programs under Title 1 of the Housing and Community Development Act of 1974 as amended. </w:t>
      </w:r>
    </w:p>
    <w:p w:rsidR="00C02E2F" w:rsidRPr="00FC11B2" w:rsidRDefault="00C02E2F" w:rsidP="00C02E2F">
      <w:pPr>
        <w:rPr>
          <w:rFonts w:ascii="Arial" w:hAnsi="Arial" w:cs="Arial"/>
        </w:rPr>
      </w:pPr>
    </w:p>
    <w:p w:rsidR="00C02E2F" w:rsidRPr="00F72E34" w:rsidRDefault="00F03577" w:rsidP="00C02E2F">
      <w:pPr>
        <w:rPr>
          <w:rFonts w:ascii="Arial" w:hAnsi="Arial" w:cs="Arial"/>
          <w:sz w:val="22"/>
          <w:szCs w:val="22"/>
          <w:u w:val="single"/>
        </w:rPr>
      </w:pPr>
      <w:hyperlink r:id="rId8" w:history="1">
        <w:r w:rsidR="00C02E2F" w:rsidRPr="00F72E34">
          <w:rPr>
            <w:rStyle w:val="Hyperlink"/>
            <w:rFonts w:ascii="Arial" w:hAnsi="Arial" w:cs="Arial"/>
            <w:sz w:val="22"/>
            <w:szCs w:val="22"/>
          </w:rPr>
          <w:t>https://www.hudexchange.info/resources/documents/24-CFR-Part%20-570-CDBGs.pdf</w:t>
        </w:r>
      </w:hyperlink>
    </w:p>
    <w:p w:rsidR="00C02E2F" w:rsidRPr="00F72E34" w:rsidRDefault="00C02E2F" w:rsidP="00C02E2F">
      <w:pPr>
        <w:rPr>
          <w:rFonts w:ascii="Arial" w:hAnsi="Arial" w:cs="Arial"/>
          <w:b/>
          <w:sz w:val="22"/>
          <w:szCs w:val="22"/>
          <w:u w:val="single"/>
        </w:rPr>
      </w:pPr>
    </w:p>
    <w:p w:rsidR="00C02E2F" w:rsidRPr="00FC11B2" w:rsidRDefault="00C02E2F" w:rsidP="00C02E2F">
      <w:pPr>
        <w:rPr>
          <w:rFonts w:ascii="Arial" w:hAnsi="Arial" w:cs="Arial"/>
          <w:b/>
          <w:sz w:val="32"/>
          <w:szCs w:val="32"/>
          <w:u w:val="single"/>
        </w:rPr>
      </w:pPr>
    </w:p>
    <w:p w:rsidR="00C02E2F" w:rsidRDefault="00C02E2F" w:rsidP="00C02E2F">
      <w:pPr>
        <w:rPr>
          <w:rFonts w:ascii="Arial" w:hAnsi="Arial" w:cs="Arial"/>
          <w:b/>
          <w:sz w:val="32"/>
          <w:szCs w:val="32"/>
          <w:u w:val="single"/>
        </w:rPr>
      </w:pPr>
      <w:r w:rsidRPr="00FC11B2">
        <w:rPr>
          <w:rFonts w:ascii="Arial" w:hAnsi="Arial" w:cs="Arial"/>
          <w:b/>
          <w:sz w:val="32"/>
          <w:szCs w:val="32"/>
          <w:u w:val="single"/>
        </w:rPr>
        <w:t>24 CFR Part 85 –States:</w:t>
      </w:r>
    </w:p>
    <w:p w:rsidR="00C02E2F" w:rsidRPr="00294756" w:rsidRDefault="00C02E2F" w:rsidP="00C02E2F">
      <w:pPr>
        <w:rPr>
          <w:rFonts w:ascii="Arial" w:hAnsi="Arial" w:cs="Arial"/>
          <w:sz w:val="22"/>
          <w:szCs w:val="22"/>
        </w:rPr>
      </w:pPr>
      <w:r>
        <w:rPr>
          <w:rFonts w:ascii="Arial" w:hAnsi="Arial" w:cs="Arial"/>
          <w:sz w:val="22"/>
          <w:szCs w:val="22"/>
        </w:rPr>
        <w:t xml:space="preserve">Administrative Requirements for grants and Cooperative Agreements to State, Local, and federally recognized Indian Tribal Governments. </w:t>
      </w:r>
    </w:p>
    <w:p w:rsidR="00C02E2F" w:rsidRPr="00FC11B2" w:rsidRDefault="00C02E2F" w:rsidP="00C02E2F">
      <w:pPr>
        <w:rPr>
          <w:rFonts w:ascii="Arial" w:hAnsi="Arial" w:cs="Arial"/>
        </w:rPr>
      </w:pPr>
    </w:p>
    <w:p w:rsidR="00C02E2F" w:rsidRDefault="00F03577" w:rsidP="00C02E2F">
      <w:pPr>
        <w:rPr>
          <w:rFonts w:ascii="Arial" w:hAnsi="Arial" w:cs="Arial"/>
        </w:rPr>
      </w:pPr>
      <w:hyperlink r:id="rId9" w:history="1">
        <w:r w:rsidR="00C02E2F" w:rsidRPr="0017555B">
          <w:rPr>
            <w:rStyle w:val="Hyperlink"/>
            <w:rFonts w:ascii="Arial" w:hAnsi="Arial" w:cs="Arial"/>
          </w:rPr>
          <w:t>https://www.hudexchange.info/resource/3745/24-cfr-part-85-administrative-requirements-for-grants-and-cooperative-agreements/</w:t>
        </w:r>
      </w:hyperlink>
    </w:p>
    <w:p w:rsidR="00C02E2F" w:rsidRPr="00FC11B2" w:rsidRDefault="00C02E2F" w:rsidP="00C02E2F">
      <w:pPr>
        <w:rPr>
          <w:rFonts w:ascii="Arial" w:hAnsi="Arial" w:cs="Arial"/>
        </w:rPr>
      </w:pPr>
    </w:p>
    <w:p w:rsidR="00C02E2F" w:rsidRPr="00FC11B2" w:rsidRDefault="00C02E2F" w:rsidP="00C02E2F">
      <w:pPr>
        <w:rPr>
          <w:rFonts w:ascii="Arial" w:hAnsi="Arial" w:cs="Arial"/>
        </w:rPr>
      </w:pPr>
    </w:p>
    <w:p w:rsidR="00C02E2F" w:rsidRDefault="00C02E2F" w:rsidP="00C02E2F">
      <w:pPr>
        <w:rPr>
          <w:rFonts w:ascii="Arial" w:hAnsi="Arial" w:cs="Arial"/>
          <w:b/>
          <w:sz w:val="32"/>
          <w:szCs w:val="32"/>
          <w:u w:val="single"/>
        </w:rPr>
      </w:pPr>
      <w:r w:rsidRPr="00FC11B2">
        <w:rPr>
          <w:rFonts w:ascii="Arial" w:hAnsi="Arial" w:cs="Arial"/>
          <w:b/>
          <w:sz w:val="32"/>
          <w:szCs w:val="32"/>
          <w:u w:val="single"/>
        </w:rPr>
        <w:t>24 CFR Part 84-NonProfits</w:t>
      </w:r>
    </w:p>
    <w:p w:rsidR="00C02E2F" w:rsidRPr="00294756" w:rsidRDefault="00C02E2F" w:rsidP="00C02E2F">
      <w:pPr>
        <w:rPr>
          <w:rFonts w:ascii="Arial" w:hAnsi="Arial" w:cs="Arial"/>
          <w:sz w:val="22"/>
          <w:szCs w:val="22"/>
        </w:rPr>
      </w:pPr>
      <w:r>
        <w:rPr>
          <w:rFonts w:ascii="Arial" w:hAnsi="Arial" w:cs="Arial"/>
          <w:sz w:val="22"/>
          <w:szCs w:val="22"/>
        </w:rPr>
        <w:t>Uniform Administrative requirements for grants and agreements with institutions of higher education, hospitals, and other non-profit organizations.</w:t>
      </w:r>
    </w:p>
    <w:p w:rsidR="00C02E2F" w:rsidRPr="00FC11B2" w:rsidRDefault="00C02E2F" w:rsidP="00C02E2F">
      <w:pPr>
        <w:rPr>
          <w:rFonts w:ascii="Arial" w:hAnsi="Arial" w:cs="Arial"/>
        </w:rPr>
      </w:pPr>
    </w:p>
    <w:p w:rsidR="00C02E2F" w:rsidRDefault="00F03577" w:rsidP="00C02E2F">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Narrow" w:hAnsi="Arial Narrow"/>
          <w:color w:val="000000"/>
          <w:sz w:val="24"/>
        </w:rPr>
      </w:pPr>
      <w:hyperlink r:id="rId10" w:history="1">
        <w:r w:rsidR="00C02E2F" w:rsidRPr="0017555B">
          <w:rPr>
            <w:rStyle w:val="Hyperlink"/>
            <w:rFonts w:ascii="Arial Narrow" w:hAnsi="Arial Narrow"/>
            <w:sz w:val="24"/>
          </w:rPr>
          <w:t>https://www.hudexchange.info/resources/documents/24_CFRPART_84.pdf</w:t>
        </w:r>
      </w:hyperlink>
      <w:r w:rsidR="00C02E2F">
        <w:rPr>
          <w:rFonts w:ascii="Arial Narrow" w:hAnsi="Arial Narrow"/>
          <w:color w:val="000000"/>
          <w:sz w:val="24"/>
        </w:rPr>
        <w:t xml:space="preserve"> </w:t>
      </w:r>
    </w:p>
    <w:p w:rsidR="00AB19F5" w:rsidRDefault="00AB19F5" w:rsidP="00C02E2F">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Narrow" w:hAnsi="Arial Narrow"/>
          <w:color w:val="000000"/>
          <w:sz w:val="24"/>
        </w:rPr>
      </w:pPr>
    </w:p>
    <w:p w:rsidR="00AB19F5" w:rsidRDefault="00AB19F5" w:rsidP="00C02E2F">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Narrow" w:hAnsi="Arial Narrow"/>
          <w:color w:val="000000"/>
          <w:sz w:val="24"/>
        </w:rPr>
      </w:pPr>
    </w:p>
    <w:p w:rsidR="00C02E2F" w:rsidRDefault="00AB19F5" w:rsidP="00C02E2F">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Narrow" w:hAnsi="Arial Narrow"/>
          <w:b/>
          <w:color w:val="000000"/>
          <w:sz w:val="32"/>
          <w:szCs w:val="32"/>
          <w:u w:val="single"/>
        </w:rPr>
      </w:pPr>
      <w:r w:rsidRPr="00AB19F5">
        <w:rPr>
          <w:rFonts w:ascii="Arial Narrow" w:hAnsi="Arial Narrow"/>
          <w:b/>
          <w:color w:val="000000"/>
          <w:sz w:val="32"/>
          <w:szCs w:val="32"/>
          <w:u w:val="single"/>
        </w:rPr>
        <w:t xml:space="preserve">29 CFR Parts 1,3,5,6 and 7 Davis-Bacon Act </w:t>
      </w:r>
    </w:p>
    <w:p w:rsidR="00AB19F5" w:rsidRPr="00AB19F5" w:rsidRDefault="00AB19F5" w:rsidP="00C02E2F">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Narrow" w:hAnsi="Arial Narrow"/>
          <w:b/>
          <w:color w:val="000000" w:themeColor="text1"/>
          <w:sz w:val="32"/>
          <w:szCs w:val="32"/>
          <w:u w:val="single"/>
        </w:rPr>
      </w:pPr>
      <w:r w:rsidRPr="00AB19F5">
        <w:rPr>
          <w:rFonts w:ascii="Arial" w:hAnsi="Arial" w:cs="Arial"/>
          <w:color w:val="000000" w:themeColor="text1"/>
          <w:sz w:val="21"/>
          <w:szCs w:val="21"/>
          <w:lang w:val="en"/>
        </w:rPr>
        <w:t>These regulations apply under the Davis-Bacon Act and other statutes which provide for the payment of minimum wages, including fringe benefits, to laborers and mechanics engaged in construction activity under contracts entered into or financed by or with the assistance of agencies of the United States or the District of Columbia, based on determinations by the Secretary of Labor of the wage rates and fringe benefits prevailing for the corresponding classes of laborers and mechanics employed on projects similar to the contract work in the local areas where such work is to be performed. </w:t>
      </w:r>
    </w:p>
    <w:p w:rsidR="00C02E2F" w:rsidRDefault="00C02E2F" w:rsidP="00C02E2F">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Narrow" w:hAnsi="Arial Narrow"/>
          <w:color w:val="000000"/>
          <w:sz w:val="24"/>
        </w:rPr>
      </w:pPr>
    </w:p>
    <w:p w:rsidR="00AB19F5" w:rsidRDefault="00AB19F5" w:rsidP="00C02E2F">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Narrow" w:hAnsi="Arial Narrow"/>
          <w:color w:val="000000"/>
          <w:sz w:val="24"/>
        </w:rPr>
      </w:pPr>
      <w:hyperlink r:id="rId11" w:history="1">
        <w:r w:rsidRPr="00F60E6A">
          <w:rPr>
            <w:rStyle w:val="Hyperlink"/>
            <w:rFonts w:ascii="Arial Narrow" w:hAnsi="Arial Narrow"/>
            <w:sz w:val="24"/>
          </w:rPr>
          <w:t>http://portal.hud.gov/hudportal/documents/huddoc?id=4812-LRguide.pdf</w:t>
        </w:r>
      </w:hyperlink>
      <w:r>
        <w:rPr>
          <w:rFonts w:ascii="Arial Narrow" w:hAnsi="Arial Narrow"/>
          <w:color w:val="000000"/>
          <w:sz w:val="24"/>
        </w:rPr>
        <w:t xml:space="preserve"> </w:t>
      </w:r>
    </w:p>
    <w:p w:rsidR="00AB19F5" w:rsidRPr="00FC11B2" w:rsidRDefault="00AB19F5" w:rsidP="00C02E2F">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Narrow" w:hAnsi="Arial Narrow"/>
          <w:color w:val="000000"/>
          <w:sz w:val="24"/>
        </w:rPr>
      </w:pPr>
    </w:p>
    <w:p w:rsidR="00C02E2F" w:rsidRPr="00FC11B2" w:rsidRDefault="00C02E2F" w:rsidP="00C02E2F">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Narrow" w:hAnsi="Arial Narrow"/>
          <w:color w:val="000000"/>
          <w:sz w:val="24"/>
        </w:rPr>
      </w:pPr>
    </w:p>
    <w:p w:rsidR="00C02E2F" w:rsidRPr="00AB19F5" w:rsidRDefault="00C02E2F" w:rsidP="00C02E2F">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w:hAnsi="Arial" w:cs="Arial"/>
          <w:b/>
          <w:color w:val="000000"/>
          <w:sz w:val="32"/>
          <w:szCs w:val="32"/>
          <w:u w:val="single"/>
        </w:rPr>
      </w:pPr>
      <w:r w:rsidRPr="00AB19F5">
        <w:rPr>
          <w:rFonts w:ascii="Arial" w:hAnsi="Arial" w:cs="Arial"/>
          <w:b/>
          <w:color w:val="000000"/>
          <w:sz w:val="32"/>
          <w:szCs w:val="32"/>
          <w:u w:val="single"/>
        </w:rPr>
        <w:t>2 CFR Part 200</w:t>
      </w:r>
    </w:p>
    <w:p w:rsidR="00C02E2F" w:rsidRDefault="00C02E2F" w:rsidP="00C02E2F">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w:hAnsi="Arial" w:cs="Arial"/>
          <w:color w:val="000000"/>
          <w:sz w:val="22"/>
          <w:szCs w:val="22"/>
        </w:rPr>
      </w:pPr>
      <w:r>
        <w:rPr>
          <w:rFonts w:ascii="Arial" w:hAnsi="Arial" w:cs="Arial"/>
          <w:color w:val="000000"/>
          <w:sz w:val="22"/>
          <w:szCs w:val="22"/>
        </w:rPr>
        <w:t>Uniform Administration Requirements, Cost Principles, and Audit Requirements for Federal Awards, Final Guidance</w:t>
      </w:r>
    </w:p>
    <w:p w:rsidR="00C02E2F" w:rsidRPr="00BF09CC" w:rsidRDefault="00C02E2F" w:rsidP="00C02E2F">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w:hAnsi="Arial" w:cs="Arial"/>
          <w:color w:val="000000"/>
          <w:sz w:val="22"/>
          <w:szCs w:val="22"/>
        </w:rPr>
      </w:pPr>
    </w:p>
    <w:p w:rsidR="00C02E2F" w:rsidRDefault="00F03577" w:rsidP="00C02E2F">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w:hAnsi="Arial" w:cs="Arial"/>
          <w:color w:val="000000"/>
          <w:sz w:val="22"/>
          <w:szCs w:val="22"/>
        </w:rPr>
      </w:pPr>
      <w:hyperlink r:id="rId12" w:history="1">
        <w:r w:rsidR="00C02E2F" w:rsidRPr="00F72E34">
          <w:rPr>
            <w:rStyle w:val="Hyperlink"/>
            <w:rFonts w:ascii="Arial" w:hAnsi="Arial" w:cs="Arial"/>
            <w:sz w:val="22"/>
            <w:szCs w:val="22"/>
          </w:rPr>
          <w:t>https://www.hudexchange.info/resources/documents/Notice-DC-2015-01-Transition-to-2-CFR-Part-200-Guidance.pdf</w:t>
        </w:r>
      </w:hyperlink>
      <w:r w:rsidR="00C02E2F" w:rsidRPr="00F72E34">
        <w:rPr>
          <w:rFonts w:ascii="Arial" w:hAnsi="Arial" w:cs="Arial"/>
          <w:color w:val="000000"/>
          <w:sz w:val="22"/>
          <w:szCs w:val="22"/>
        </w:rPr>
        <w:t xml:space="preserve"> </w:t>
      </w:r>
    </w:p>
    <w:p w:rsidR="00C02E2F" w:rsidRPr="00F72E34" w:rsidRDefault="00C02E2F" w:rsidP="00C02E2F">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w:hAnsi="Arial" w:cs="Arial"/>
          <w:color w:val="000000"/>
          <w:sz w:val="22"/>
          <w:szCs w:val="22"/>
        </w:rPr>
      </w:pPr>
    </w:p>
    <w:p w:rsidR="00991C45" w:rsidRDefault="00991C45" w:rsidP="00991C45">
      <w:pPr>
        <w:pStyle w:val="Default"/>
      </w:pPr>
    </w:p>
    <w:p w:rsidR="00991C45" w:rsidRPr="00991C45" w:rsidRDefault="00991C45" w:rsidP="00991C45">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rPr>
          <w:rFonts w:ascii="Arial Narrow" w:hAnsi="Arial Narrow"/>
          <w:color w:val="000000"/>
          <w:sz w:val="32"/>
          <w:szCs w:val="32"/>
          <w:u w:val="single"/>
        </w:rPr>
      </w:pPr>
      <w:r w:rsidRPr="00991C45">
        <w:rPr>
          <w:sz w:val="32"/>
          <w:szCs w:val="32"/>
          <w:u w:val="single"/>
        </w:rPr>
        <w:t xml:space="preserve"> </w:t>
      </w:r>
      <w:r w:rsidRPr="00991C45">
        <w:rPr>
          <w:b/>
          <w:bCs/>
          <w:sz w:val="32"/>
          <w:szCs w:val="32"/>
          <w:u w:val="single"/>
        </w:rPr>
        <w:t>TITLE VII OF THE CIVIL RIGHTS ACT OF 1964</w:t>
      </w:r>
    </w:p>
    <w:p w:rsidR="00991C45" w:rsidRPr="00FC11B2" w:rsidRDefault="00991C45" w:rsidP="00991C45">
      <w:pPr>
        <w:tabs>
          <w:tab w:val="left" w:pos="-1728"/>
          <w:tab w:val="left" w:pos="-1008"/>
          <w:tab w:val="left" w:pos="-288"/>
          <w:tab w:val="left" w:pos="192"/>
          <w:tab w:val="left" w:pos="312"/>
          <w:tab w:val="left" w:pos="432"/>
          <w:tab w:val="left" w:pos="672"/>
          <w:tab w:val="left" w:pos="1032"/>
          <w:tab w:val="left" w:pos="1152"/>
          <w:tab w:val="left" w:pos="1392"/>
          <w:tab w:val="left" w:pos="1872"/>
          <w:tab w:val="left" w:pos="2592"/>
          <w:tab w:val="left" w:pos="3312"/>
          <w:tab w:val="left" w:pos="4032"/>
          <w:tab w:val="left" w:pos="4752"/>
          <w:tab w:val="left" w:pos="5472"/>
          <w:tab w:val="left" w:pos="6192"/>
          <w:tab w:val="left" w:pos="6912"/>
          <w:tab w:val="left" w:pos="7632"/>
          <w:tab w:val="left" w:pos="8352"/>
          <w:tab w:val="left" w:pos="9072"/>
        </w:tabs>
        <w:jc w:val="center"/>
        <w:rPr>
          <w:rFonts w:ascii="Arial Narrow" w:hAnsi="Arial Narrow"/>
          <w:color w:val="000000"/>
          <w:sz w:val="24"/>
        </w:rPr>
      </w:pPr>
    </w:p>
    <w:p w:rsidR="00991C45" w:rsidRDefault="00AB19F5" w:rsidP="00991C45">
      <w:pPr>
        <w:rPr>
          <w:szCs w:val="22"/>
        </w:rPr>
      </w:pPr>
      <w:hyperlink r:id="rId13" w:history="1">
        <w:r w:rsidRPr="00F60E6A">
          <w:rPr>
            <w:rStyle w:val="Hyperlink"/>
            <w:szCs w:val="22"/>
          </w:rPr>
          <w:t>http://www.dol.go</w:t>
        </w:r>
        <w:bookmarkStart w:id="0" w:name="_GoBack"/>
        <w:bookmarkEnd w:id="0"/>
        <w:r w:rsidRPr="00F60E6A">
          <w:rPr>
            <w:rStyle w:val="Hyperlink"/>
            <w:szCs w:val="22"/>
          </w:rPr>
          <w:t>v</w:t>
        </w:r>
        <w:r w:rsidRPr="00F60E6A">
          <w:rPr>
            <w:rStyle w:val="Hyperlink"/>
            <w:szCs w:val="22"/>
          </w:rPr>
          <w:t>/oasam/regs/statutes/2000e-16.htm</w:t>
        </w:r>
      </w:hyperlink>
      <w:r>
        <w:rPr>
          <w:szCs w:val="22"/>
        </w:rPr>
        <w:t xml:space="preserve"> </w:t>
      </w:r>
    </w:p>
    <w:p w:rsidR="00991C45" w:rsidRDefault="00991C45" w:rsidP="00991C45">
      <w:pPr>
        <w:rPr>
          <w:szCs w:val="22"/>
        </w:rPr>
      </w:pPr>
    </w:p>
    <w:p w:rsidR="00AB19F5" w:rsidRDefault="00AB19F5" w:rsidP="00991C45">
      <w:pPr>
        <w:rPr>
          <w:b/>
          <w:sz w:val="32"/>
          <w:szCs w:val="32"/>
          <w:u w:val="single"/>
        </w:rPr>
      </w:pPr>
    </w:p>
    <w:p w:rsidR="00991C45" w:rsidRPr="00991C45" w:rsidRDefault="00991C45" w:rsidP="00991C45">
      <w:pPr>
        <w:rPr>
          <w:b/>
          <w:sz w:val="32"/>
          <w:szCs w:val="32"/>
          <w:u w:val="single"/>
        </w:rPr>
      </w:pPr>
      <w:r w:rsidRPr="00991C45">
        <w:rPr>
          <w:b/>
          <w:sz w:val="32"/>
          <w:szCs w:val="32"/>
          <w:u w:val="single"/>
        </w:rPr>
        <w:t>Other information and regulations can be found at:</w:t>
      </w:r>
    </w:p>
    <w:p w:rsidR="00991C45" w:rsidRDefault="00991C45" w:rsidP="00991C45">
      <w:pPr>
        <w:rPr>
          <w:szCs w:val="22"/>
        </w:rPr>
      </w:pPr>
    </w:p>
    <w:p w:rsidR="00991C45" w:rsidRDefault="00F03577" w:rsidP="00991C45">
      <w:pPr>
        <w:rPr>
          <w:szCs w:val="22"/>
        </w:rPr>
      </w:pPr>
      <w:hyperlink r:id="rId14" w:history="1">
        <w:r w:rsidR="00991C45" w:rsidRPr="00A2576C">
          <w:rPr>
            <w:rStyle w:val="Hyperlink"/>
            <w:szCs w:val="22"/>
          </w:rPr>
          <w:t>https://www.hudexchange.info/</w:t>
        </w:r>
      </w:hyperlink>
    </w:p>
    <w:p w:rsidR="00991C45" w:rsidRDefault="00991C45" w:rsidP="00991C45">
      <w:pPr>
        <w:rPr>
          <w:szCs w:val="22"/>
        </w:rPr>
      </w:pPr>
    </w:p>
    <w:p w:rsidR="00C02E2F" w:rsidRDefault="00C02E2F" w:rsidP="00991C45">
      <w:pPr>
        <w:rPr>
          <w:szCs w:val="22"/>
        </w:rPr>
      </w:pPr>
    </w:p>
    <w:p w:rsidR="00C02E2F" w:rsidRDefault="00C02E2F" w:rsidP="00991C45">
      <w:pPr>
        <w:rPr>
          <w:szCs w:val="22"/>
        </w:rPr>
      </w:pPr>
    </w:p>
    <w:p w:rsidR="00C02E2F" w:rsidRDefault="00C02E2F" w:rsidP="00991C45">
      <w:pPr>
        <w:rPr>
          <w:szCs w:val="22"/>
        </w:rPr>
      </w:pPr>
    </w:p>
    <w:p w:rsidR="00C02E2F" w:rsidRDefault="00C02E2F" w:rsidP="00991C45">
      <w:pPr>
        <w:rPr>
          <w:szCs w:val="22"/>
        </w:rPr>
      </w:pPr>
    </w:p>
    <w:p w:rsidR="00C02E2F" w:rsidRDefault="00C02E2F" w:rsidP="00991C45">
      <w:pPr>
        <w:rPr>
          <w:szCs w:val="22"/>
        </w:rPr>
      </w:pPr>
    </w:p>
    <w:p w:rsidR="00C02E2F" w:rsidRDefault="00C02E2F" w:rsidP="00991C45">
      <w:pPr>
        <w:rPr>
          <w:szCs w:val="22"/>
        </w:rPr>
      </w:pPr>
    </w:p>
    <w:p w:rsidR="00C02E2F" w:rsidRDefault="00C02E2F" w:rsidP="00991C45">
      <w:pPr>
        <w:rPr>
          <w:szCs w:val="22"/>
        </w:rPr>
      </w:pPr>
    </w:p>
    <w:p w:rsidR="00C02E2F" w:rsidRDefault="00C02E2F" w:rsidP="00991C45">
      <w:pPr>
        <w:rPr>
          <w:szCs w:val="22"/>
        </w:rPr>
      </w:pPr>
    </w:p>
    <w:p w:rsidR="00C02E2F" w:rsidRDefault="00C02E2F" w:rsidP="00991C45">
      <w:pPr>
        <w:rPr>
          <w:szCs w:val="22"/>
        </w:rPr>
      </w:pPr>
    </w:p>
    <w:p w:rsidR="00C02E2F" w:rsidRPr="00991C45" w:rsidRDefault="00C02E2F" w:rsidP="00991C45">
      <w:pPr>
        <w:rPr>
          <w:szCs w:val="22"/>
        </w:rPr>
      </w:pPr>
    </w:p>
    <w:sectPr w:rsidR="00C02E2F" w:rsidRPr="00991C45" w:rsidSect="00DA3AE8">
      <w:footerReference w:type="default" r:id="rId15"/>
      <w:pgSz w:w="12240" w:h="15840" w:code="1"/>
      <w:pgMar w:top="432" w:right="720"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577" w:rsidRDefault="00F03577" w:rsidP="00991C45">
      <w:r>
        <w:separator/>
      </w:r>
    </w:p>
  </w:endnote>
  <w:endnote w:type="continuationSeparator" w:id="0">
    <w:p w:rsidR="00F03577" w:rsidRDefault="00F03577" w:rsidP="0099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14" w:rsidRPr="00617B08" w:rsidRDefault="00F03577" w:rsidP="00617B08">
    <w:pPr>
      <w:pStyle w:val="Footer"/>
      <w:jc w:val="right"/>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577" w:rsidRDefault="00F03577" w:rsidP="00991C45">
      <w:r>
        <w:separator/>
      </w:r>
    </w:p>
  </w:footnote>
  <w:footnote w:type="continuationSeparator" w:id="0">
    <w:p w:rsidR="00F03577" w:rsidRDefault="00F03577" w:rsidP="00991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A37C6"/>
    <w:multiLevelType w:val="hybridMultilevel"/>
    <w:tmpl w:val="BFFA824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58F1746"/>
    <w:multiLevelType w:val="hybridMultilevel"/>
    <w:tmpl w:val="102259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97A231E"/>
    <w:multiLevelType w:val="multilevel"/>
    <w:tmpl w:val="87CC01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1C45"/>
    <w:rsid w:val="00290301"/>
    <w:rsid w:val="00386798"/>
    <w:rsid w:val="00562C21"/>
    <w:rsid w:val="00991C45"/>
    <w:rsid w:val="00A51D3A"/>
    <w:rsid w:val="00AB19F5"/>
    <w:rsid w:val="00C02E2F"/>
    <w:rsid w:val="00D96FF0"/>
    <w:rsid w:val="00F0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DA36A2-B7D1-4811-B14D-E49436CB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45"/>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91C45"/>
    <w:rPr>
      <w:rFonts w:ascii="Univers" w:hAnsi="Univers"/>
      <w:sz w:val="20"/>
    </w:rPr>
  </w:style>
  <w:style w:type="paragraph" w:styleId="Footer">
    <w:name w:val="footer"/>
    <w:basedOn w:val="Normal"/>
    <w:link w:val="FooterChar"/>
    <w:rsid w:val="00991C45"/>
    <w:pPr>
      <w:widowControl w:val="0"/>
      <w:tabs>
        <w:tab w:val="center" w:pos="4320"/>
        <w:tab w:val="right" w:pos="8640"/>
      </w:tabs>
    </w:pPr>
    <w:rPr>
      <w:rFonts w:ascii="Courier New" w:hAnsi="Courier New"/>
      <w:snapToGrid w:val="0"/>
      <w:sz w:val="24"/>
      <w:szCs w:val="20"/>
    </w:rPr>
  </w:style>
  <w:style w:type="character" w:customStyle="1" w:styleId="FooterChar">
    <w:name w:val="Footer Char"/>
    <w:basedOn w:val="DefaultParagraphFont"/>
    <w:link w:val="Footer"/>
    <w:rsid w:val="00991C45"/>
    <w:rPr>
      <w:rFonts w:ascii="Courier New" w:eastAsia="Times New Roman" w:hAnsi="Courier New" w:cs="Times New Roman"/>
      <w:snapToGrid w:val="0"/>
      <w:sz w:val="24"/>
      <w:szCs w:val="20"/>
    </w:rPr>
  </w:style>
  <w:style w:type="character" w:styleId="Hyperlink">
    <w:name w:val="Hyperlink"/>
    <w:basedOn w:val="DefaultParagraphFont"/>
    <w:rsid w:val="00991C45"/>
    <w:rPr>
      <w:color w:val="0000FF"/>
      <w:u w:val="single"/>
    </w:rPr>
  </w:style>
  <w:style w:type="paragraph" w:customStyle="1" w:styleId="Default">
    <w:name w:val="Default"/>
    <w:rsid w:val="00991C4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91C45"/>
    <w:pPr>
      <w:tabs>
        <w:tab w:val="center" w:pos="4680"/>
        <w:tab w:val="right" w:pos="9360"/>
      </w:tabs>
    </w:pPr>
  </w:style>
  <w:style w:type="character" w:customStyle="1" w:styleId="HeaderChar">
    <w:name w:val="Header Char"/>
    <w:basedOn w:val="DefaultParagraphFont"/>
    <w:link w:val="Header"/>
    <w:uiPriority w:val="99"/>
    <w:rsid w:val="00991C45"/>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991C45"/>
    <w:rPr>
      <w:rFonts w:ascii="Tahoma" w:hAnsi="Tahoma" w:cs="Tahoma"/>
      <w:sz w:val="16"/>
      <w:szCs w:val="16"/>
    </w:rPr>
  </w:style>
  <w:style w:type="character" w:customStyle="1" w:styleId="BalloonTextChar">
    <w:name w:val="Balloon Text Char"/>
    <w:basedOn w:val="DefaultParagraphFont"/>
    <w:link w:val="BalloonText"/>
    <w:uiPriority w:val="99"/>
    <w:semiHidden/>
    <w:rsid w:val="00991C4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B1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24-CFR-Part%20-570-CDBGs.pdf" TargetMode="External"/><Relationship Id="rId13" Type="http://schemas.openxmlformats.org/officeDocument/2006/relationships/hyperlink" Target="http://www.dol.gov/oasam/regs/statutes/2000e-16.htm" TargetMode="External"/><Relationship Id="rId3" Type="http://schemas.openxmlformats.org/officeDocument/2006/relationships/settings" Target="settings.xml"/><Relationship Id="rId7" Type="http://schemas.openxmlformats.org/officeDocument/2006/relationships/hyperlink" Target="mailto:cdbg@cityofdalton-ga.gov" TargetMode="External"/><Relationship Id="rId12" Type="http://schemas.openxmlformats.org/officeDocument/2006/relationships/hyperlink" Target="https://www.hudexchange.info/resources/documents/Notice-DC-2015-01-Transition-to-2-CFR-Part-200-Guidanc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hud.gov/hudportal/documents/huddoc?id=4812-LRguid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udexchange.info/resources/documents/24_CFRPART_84.pdf" TargetMode="External"/><Relationship Id="rId4" Type="http://schemas.openxmlformats.org/officeDocument/2006/relationships/webSettings" Target="webSettings.xml"/><Relationship Id="rId9" Type="http://schemas.openxmlformats.org/officeDocument/2006/relationships/hyperlink" Target="https://www.hudexchange.info/resource/3745/24-cfr-part-85-administrative-requirements-for-grants-and-cooperative-agreements/" TargetMode="External"/><Relationship Id="rId14" Type="http://schemas.openxmlformats.org/officeDocument/2006/relationships/hyperlink" Target="https://www.hudexchan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cdbg</dc:creator>
  <cp:lastModifiedBy>cdbg</cp:lastModifiedBy>
  <cp:revision>3</cp:revision>
  <dcterms:created xsi:type="dcterms:W3CDTF">2014-08-18T00:12:00Z</dcterms:created>
  <dcterms:modified xsi:type="dcterms:W3CDTF">2015-08-11T13:13:00Z</dcterms:modified>
</cp:coreProperties>
</file>